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年急需本科专业名单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一、国家发展战略急需专业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按照“中国制造2025”“互联网+”“一带一路”等国家发展战略，支持增设乡村振兴、健康中国、人工智能、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网络安全、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外语非通用语种等领域相关专业。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省级发展规划急需专业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按照《陕西省国民经济和社会发展第十三个五年规划纲要》《陕西省“十三五”战略性新兴产业发展规划》等省级发展规划，支持增设新一代信息技术、高端装备制造、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新能源、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新材料、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大数据、云计算、智能制造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等战略性新兴产业相关专业。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三、行业产业发展急需专业（按专业代码排序）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精算学、地质学、信息安全、水文与水资源工程、城乡规划、网络安全与执法、森林保护、中医康复学、中医养生学、助产学、交通管理、健康服务与管理。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四、就业形势好、省内布点空白的专业。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省控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本科专业名单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一、布点数超过全省高校总数50%的专业（按布点数由多到少排序）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英语、计算机科学与技术、市场营销、会计学、电子信息工程、环境设计、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视觉传达设计、电气工程及其自动化、汉语言文学、财务管理、国际经济与贸易、软件工程、物联网工程、机械设计制造及其自动化、信息管理与信息系统、电子商务。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562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近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三年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平均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就业率低于全省平均就业率5个百分点的专业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（按就业率由低到高排序）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刑事科学技术、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侦查学、劳动与社会保障、政治学与行政学、治安学、舞蹈编导、录音艺术、音乐表演、法医学、法学、表演、泰语、雕塑、绘画、哲学、作曲与作曲技术理论、音乐学、农林经济管理、中国画。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三、在校生人数超过8000人的专业（按在校生人数由多到少排序）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560" w:firstLineChars="200"/>
        <w:textAlignment w:val="auto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会计学、英语、财务管理、汉语言文学、机械设计制造及其自动化、计算机科学与技术、电气工程及其自动化、土木工程、电子信息工程、软件工程、法学、通信工程、环境设计、国际经济与贸易、视觉传达设计、自动化、护理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A3808"/>
    <w:rsid w:val="37BA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2020-06-02T05:32:00Z</dcterms:created>
  <dc:creator>齐春娥</dc:creator>
  <cp:lastModifiedBy>齐春娥</cp:lastModifiedBy>
  <dcterms:modified xsi:type="dcterms:W3CDTF">2020-06-02T05:32:29Z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