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附件1</w:t>
      </w:r>
    </w:p>
    <w:p>
      <w:pPr>
        <w:snapToGrid w:val="0"/>
        <w:jc w:val="center"/>
        <w:rPr>
          <w:rFonts w:ascii="宋体" w:hAnsi="宋体" w:eastAsia="黑体"/>
          <w:b/>
          <w:sz w:val="24"/>
          <w:szCs w:val="32"/>
        </w:rPr>
      </w:pPr>
      <w:r>
        <w:rPr>
          <w:rFonts w:hint="eastAsia" w:ascii="宋体" w:hAnsi="宋体" w:eastAsia="黑体"/>
          <w:b/>
          <w:sz w:val="28"/>
          <w:szCs w:val="32"/>
        </w:rPr>
        <w:t>西安培华学院应用型课程评价标准（试行）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73"/>
        <w:gridCol w:w="711"/>
        <w:gridCol w:w="1558"/>
        <w:gridCol w:w="3950"/>
        <w:gridCol w:w="2997"/>
        <w:gridCol w:w="30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90"/>
                <w:szCs w:val="21"/>
              </w:rPr>
              <w:t>课程类别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六部委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标准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评价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内容</w:t>
            </w:r>
          </w:p>
        </w:tc>
        <w:tc>
          <w:tcPr>
            <w:tcW w:w="1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评价指标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一级指标</w:t>
            </w:r>
          </w:p>
        </w:tc>
        <w:tc>
          <w:tcPr>
            <w:tcW w:w="39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二级指标</w:t>
            </w:r>
          </w:p>
        </w:tc>
        <w:tc>
          <w:tcPr>
            <w:tcW w:w="29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观测点</w:t>
            </w:r>
          </w:p>
        </w:tc>
        <w:tc>
          <w:tcPr>
            <w:tcW w:w="30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支撑材料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课程单元</w:t>
            </w:r>
          </w:p>
          <w:p>
            <w:pPr>
              <w:snapToGrid w:val="0"/>
              <w:spacing w:line="480" w:lineRule="auto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（一门课程）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与工作对接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课程定位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服务专业培养目标的契合度（20%）</w:t>
            </w:r>
          </w:p>
        </w:tc>
        <w:tc>
          <w:tcPr>
            <w:tcW w:w="39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1.1课程定位体现出对专业培养目标的支撑作用；（10%）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1.2课程教学目标符合培养学生发展能力的要求。（10%）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教学大纲中课程定位与教学目标是否明确，是否有效体现培养方案中应用技术型人才培养目标的支撑与契合度；</w:t>
            </w:r>
          </w:p>
        </w:tc>
        <w:tc>
          <w:tcPr>
            <w:tcW w:w="3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1.专业人才培养方案；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2.课程教学大纲；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真实环境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课程设计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  <w:highlight w:val="yellow"/>
              </w:rPr>
            </w:pPr>
            <w:r>
              <w:rPr>
                <w:rFonts w:hint="eastAsia" w:ascii="仿宋" w:hAnsi="仿宋" w:eastAsia="仿宋_GB2312"/>
                <w:szCs w:val="21"/>
              </w:rPr>
              <w:t>2.“双基双技”与实践的融合度（30%）</w:t>
            </w:r>
          </w:p>
        </w:tc>
        <w:tc>
          <w:tcPr>
            <w:tcW w:w="39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2.1根据工作过程设计教学流程；（10%）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2.2依据能力目标设计课程内容；（10%）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  <w:highlight w:val="yellow"/>
              </w:rPr>
            </w:pPr>
            <w:r>
              <w:rPr>
                <w:rFonts w:hint="eastAsia" w:ascii="仿宋" w:hAnsi="仿宋" w:eastAsia="仿宋_GB2312"/>
                <w:szCs w:val="21"/>
              </w:rPr>
              <w:t>2.3基于体认导向激发学习兴趣。（10%）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课程结构设计的合理及有效性；课程内容中双基双技的体现与融合度；</w:t>
            </w:r>
          </w:p>
        </w:tc>
        <w:tc>
          <w:tcPr>
            <w:tcW w:w="3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1.应用型课程设计方案；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2.与课程项目（任务）设计相关的校企合作、横向课题或其他真实（仿真）项目材料；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真学、真做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课程实施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3.“教、学、做”合一的紧密度（30%）</w:t>
            </w:r>
          </w:p>
        </w:tc>
        <w:tc>
          <w:tcPr>
            <w:tcW w:w="39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3.1依据“学情”改革教学方法、创新教学手段；（10%）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3.2以“任务”为载体、教学过程体现理实融合；（10%）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3.3综合性运用传统课堂、翻转课堂、跨界课堂。（10%）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教学（教案）中体现了以任务为载体并结合各类教学法运用的教学实施过程，实现教、学、做“理实一体化”；</w:t>
            </w:r>
          </w:p>
        </w:tc>
        <w:tc>
          <w:tcPr>
            <w:tcW w:w="3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1.开课说明；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2.课程教案；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3.教材（讲义）；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4.多媒体课件；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5.微课、SPOC、MOOC等其它线上线下资源；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掌握真本领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课程评价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4.应用能力在实践中的表现度（20%）</w:t>
            </w:r>
          </w:p>
        </w:tc>
        <w:tc>
          <w:tcPr>
            <w:tcW w:w="39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4.1多元性的评价学生学习成果；（10%）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4.2课程实施效果具有统计意义。（10%）</w:t>
            </w:r>
          </w:p>
        </w:tc>
        <w:tc>
          <w:tcPr>
            <w:tcW w:w="29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考核成绩、学生评价、企业评价、社会评价、竞赛获奖、专利成果等可体现课程教学效果的数据统计；</w:t>
            </w:r>
          </w:p>
        </w:tc>
        <w:tc>
          <w:tcPr>
            <w:tcW w:w="3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1.麦可思等教学评价数据；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2.教师教学成果与学生学习成果数据统计等文件材料；</w:t>
            </w:r>
          </w:p>
        </w:tc>
      </w:tr>
    </w:tbl>
    <w:p>
      <w:pPr>
        <w:spacing w:before="156" w:beforeLines="50" w:after="156" w:afterLines="50"/>
      </w:pPr>
      <w:r>
        <w:rPr>
          <w:rFonts w:hint="eastAsia" w:eastAsia="仿宋_GB2312"/>
          <w:sz w:val="22"/>
        </w:rPr>
        <w:t>备注：应用型课程根据评价标准可分为优、良、中、差、不合格共五个等级，其中优&gt;</w:t>
      </w:r>
      <w:r>
        <w:rPr>
          <w:rFonts w:eastAsia="仿宋_GB2312"/>
          <w:sz w:val="22"/>
        </w:rPr>
        <w:t>=90</w:t>
      </w:r>
      <w:r>
        <w:rPr>
          <w:rFonts w:hint="eastAsia" w:eastAsia="仿宋_GB2312"/>
          <w:sz w:val="22"/>
        </w:rPr>
        <w:t>，良&gt;</w:t>
      </w:r>
      <w:r>
        <w:rPr>
          <w:rFonts w:eastAsia="仿宋_GB2312"/>
          <w:sz w:val="22"/>
        </w:rPr>
        <w:t>=80</w:t>
      </w:r>
      <w:r>
        <w:rPr>
          <w:rFonts w:hint="eastAsia" w:eastAsia="仿宋_GB2312"/>
          <w:sz w:val="22"/>
        </w:rPr>
        <w:t>，中&gt;</w:t>
      </w:r>
      <w:r>
        <w:rPr>
          <w:rFonts w:eastAsia="仿宋_GB2312"/>
          <w:sz w:val="22"/>
        </w:rPr>
        <w:t>=70</w:t>
      </w:r>
      <w:r>
        <w:rPr>
          <w:rFonts w:hint="eastAsia" w:eastAsia="仿宋_GB2312"/>
          <w:sz w:val="22"/>
        </w:rPr>
        <w:t>，差&gt;</w:t>
      </w:r>
      <w:r>
        <w:rPr>
          <w:rFonts w:eastAsia="仿宋_GB2312"/>
          <w:sz w:val="22"/>
        </w:rPr>
        <w:t>=60</w:t>
      </w:r>
      <w:r>
        <w:rPr>
          <w:rFonts w:hint="eastAsia" w:eastAsia="仿宋_GB2312"/>
          <w:sz w:val="22"/>
        </w:rPr>
        <w:t>，不合格</w:t>
      </w:r>
      <w:r>
        <w:rPr>
          <w:rFonts w:eastAsia="仿宋_GB2312"/>
          <w:sz w:val="22"/>
        </w:rPr>
        <w:t>&lt;60</w:t>
      </w:r>
      <w:r>
        <w:rPr>
          <w:rFonts w:hint="eastAsia" w:eastAsia="仿宋_GB2312"/>
          <w:sz w:val="22"/>
        </w:rPr>
        <w:t>。</w:t>
      </w:r>
    </w:p>
    <w:p>
      <w:pPr>
        <w:snapToGrid w:val="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附件</w:t>
      </w:r>
      <w:r>
        <w:rPr>
          <w:rFonts w:eastAsia="仿宋_GB2312"/>
          <w:sz w:val="28"/>
        </w:rPr>
        <w:t>2</w:t>
      </w:r>
    </w:p>
    <w:p>
      <w:pPr>
        <w:snapToGrid w:val="0"/>
        <w:jc w:val="center"/>
        <w:rPr>
          <w:rFonts w:ascii="宋体" w:hAnsi="宋体" w:eastAsia="黑体"/>
          <w:b/>
          <w:sz w:val="28"/>
          <w:szCs w:val="32"/>
        </w:rPr>
      </w:pPr>
      <w:r>
        <w:rPr>
          <w:rFonts w:hint="eastAsia" w:ascii="宋体" w:hAnsi="宋体" w:eastAsia="黑体"/>
          <w:b/>
          <w:sz w:val="28"/>
          <w:szCs w:val="32"/>
        </w:rPr>
        <w:t>西安培华学院应用型课程评价评分表</w:t>
      </w:r>
    </w:p>
    <w:p>
      <w:pPr>
        <w:snapToGrid w:val="0"/>
        <w:jc w:val="left"/>
        <w:rPr>
          <w:rFonts w:hint="eastAsia" w:ascii="宋体" w:hAnsi="宋体" w:eastAsia="仿宋_GB2312"/>
          <w:b/>
          <w:sz w:val="24"/>
          <w:szCs w:val="32"/>
        </w:rPr>
      </w:pPr>
      <w:r>
        <w:rPr>
          <w:rFonts w:hint="eastAsia" w:ascii="宋体" w:hAnsi="宋体" w:eastAsia="仿宋_GB2312"/>
          <w:b/>
          <w:sz w:val="24"/>
          <w:szCs w:val="32"/>
        </w:rPr>
        <w:t xml:space="preserve">学院：       </w:t>
      </w:r>
      <w:r>
        <w:rPr>
          <w:rFonts w:ascii="宋体" w:hAnsi="宋体" w:eastAsia="仿宋_GB2312"/>
          <w:b/>
          <w:sz w:val="24"/>
          <w:szCs w:val="32"/>
        </w:rPr>
        <w:t xml:space="preserve">    </w:t>
      </w:r>
      <w:r>
        <w:rPr>
          <w:rFonts w:hint="eastAsia" w:ascii="宋体" w:hAnsi="宋体" w:eastAsia="仿宋_GB2312"/>
          <w:b/>
          <w:sz w:val="24"/>
          <w:szCs w:val="32"/>
        </w:rPr>
        <w:t xml:space="preserve">    专业：                        课程：                           任课教师：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79"/>
        <w:gridCol w:w="4675"/>
        <w:gridCol w:w="3405"/>
        <w:gridCol w:w="2982"/>
        <w:gridCol w:w="8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评价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内容</w:t>
            </w:r>
          </w:p>
        </w:tc>
        <w:tc>
          <w:tcPr>
            <w:tcW w:w="1264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评价指标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得分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_GB2312"/>
                <w:b/>
                <w:bCs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一级指标</w:t>
            </w:r>
          </w:p>
        </w:tc>
        <w:tc>
          <w:tcPr>
            <w:tcW w:w="467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二级指标</w:t>
            </w:r>
          </w:p>
        </w:tc>
        <w:tc>
          <w:tcPr>
            <w:tcW w:w="3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观测点</w:t>
            </w:r>
          </w:p>
        </w:tc>
        <w:tc>
          <w:tcPr>
            <w:tcW w:w="29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  <w:t>支撑材料</w:t>
            </w:r>
          </w:p>
        </w:tc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_GB2312"/>
                <w:b/>
                <w:bCs/>
                <w:w w:val="8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课程定位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</w:t>
            </w:r>
            <w:r>
              <w:rPr>
                <w:rFonts w:ascii="仿宋" w:hAnsi="仿宋" w:eastAsia="仿宋_GB2312"/>
                <w:szCs w:val="21"/>
              </w:rPr>
              <w:t>.</w:t>
            </w:r>
            <w:r>
              <w:rPr>
                <w:rFonts w:hint="eastAsia" w:ascii="仿宋" w:hAnsi="仿宋" w:eastAsia="仿宋_GB2312"/>
                <w:szCs w:val="21"/>
              </w:rPr>
              <w:t>服务专业培养目标的契合度（20分）</w:t>
            </w:r>
          </w:p>
        </w:tc>
        <w:tc>
          <w:tcPr>
            <w:tcW w:w="4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1.1课程定位体现出对专业培养目标的支撑作用；（10分）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1.2课程教学目标符合培养学生发展能力的要求。（10分）</w:t>
            </w:r>
          </w:p>
        </w:tc>
        <w:tc>
          <w:tcPr>
            <w:tcW w:w="3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教学大纲中课程定位与教学目标是否明确，是否有效体现培养方案中应用技术型人才培养目标的支撑与契合度；</w:t>
            </w:r>
          </w:p>
        </w:tc>
        <w:tc>
          <w:tcPr>
            <w:tcW w:w="2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1.专业人才培养方案；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2.课程教学大纲；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课程设计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  <w:highlight w:val="yellow"/>
              </w:rPr>
            </w:pPr>
            <w:r>
              <w:rPr>
                <w:rFonts w:hint="eastAsia" w:ascii="仿宋" w:hAnsi="仿宋" w:eastAsia="仿宋_GB2312"/>
                <w:szCs w:val="21"/>
              </w:rPr>
              <w:t>2</w:t>
            </w:r>
            <w:r>
              <w:rPr>
                <w:rFonts w:ascii="仿宋" w:hAnsi="仿宋" w:eastAsia="仿宋_GB2312"/>
                <w:szCs w:val="21"/>
              </w:rPr>
              <w:t>.</w:t>
            </w:r>
            <w:r>
              <w:rPr>
                <w:rFonts w:hint="eastAsia" w:ascii="仿宋" w:hAnsi="仿宋" w:eastAsia="仿宋_GB2312"/>
                <w:szCs w:val="21"/>
              </w:rPr>
              <w:t>“双基双技”与实践的融合度（30分）</w:t>
            </w:r>
          </w:p>
        </w:tc>
        <w:tc>
          <w:tcPr>
            <w:tcW w:w="4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2.1根据工作过程设计教学流程；（10分）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2.2依据能力目标设计课程内容；（10分）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  <w:highlight w:val="yellow"/>
              </w:rPr>
            </w:pPr>
            <w:r>
              <w:rPr>
                <w:rFonts w:hint="eastAsia" w:ascii="仿宋" w:hAnsi="仿宋" w:eastAsia="仿宋_GB2312"/>
                <w:szCs w:val="21"/>
              </w:rPr>
              <w:t>2.3基于体认导向激发学习兴趣。（10分）</w:t>
            </w:r>
          </w:p>
        </w:tc>
        <w:tc>
          <w:tcPr>
            <w:tcW w:w="3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课程结构设计的合理及有效性；课程内容中双基双技的体现与融合度；</w:t>
            </w:r>
          </w:p>
        </w:tc>
        <w:tc>
          <w:tcPr>
            <w:tcW w:w="2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1.应用型课程设计方案；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2.与课程项目（任务）设计相关的校企合作、横向课题或其他真实（仿真）项目材料；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课程实施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</w:t>
            </w:r>
            <w:r>
              <w:rPr>
                <w:rFonts w:ascii="仿宋" w:hAnsi="仿宋" w:eastAsia="仿宋_GB2312"/>
                <w:szCs w:val="21"/>
              </w:rPr>
              <w:t>.</w:t>
            </w:r>
            <w:r>
              <w:rPr>
                <w:rFonts w:hint="eastAsia" w:ascii="仿宋" w:hAnsi="仿宋" w:eastAsia="仿宋_GB2312"/>
                <w:szCs w:val="21"/>
              </w:rPr>
              <w:t>“教、学、做”合一的紧密度（30分）</w:t>
            </w:r>
          </w:p>
        </w:tc>
        <w:tc>
          <w:tcPr>
            <w:tcW w:w="4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3.1依据“学情”改革教学方法、创新教学手段；（10分）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3.2以“任务”为载体、教学过程体现理实融合；（10分）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3.3综合性运用传统课堂、翻转课堂、跨界课堂。（10分）</w:t>
            </w:r>
          </w:p>
        </w:tc>
        <w:tc>
          <w:tcPr>
            <w:tcW w:w="3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教学（教案）中体现了以任务为载体并结合各类教学法运用的教学实施过程，实现教、学、做“理实一体化”；</w:t>
            </w:r>
          </w:p>
        </w:tc>
        <w:tc>
          <w:tcPr>
            <w:tcW w:w="2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1.开课说明；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2.课程教案；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3.教材（讲义）；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4.多媒体课件；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5.微课、SPOC、MOOC等其它线上线下资源；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_GB2312"/>
                <w:b/>
                <w:w w:val="80"/>
                <w:szCs w:val="21"/>
              </w:rPr>
            </w:pPr>
            <w:r>
              <w:rPr>
                <w:rFonts w:hint="eastAsia" w:ascii="仿宋" w:hAnsi="仿宋" w:eastAsia="仿宋_GB2312"/>
                <w:b/>
                <w:w w:val="80"/>
                <w:szCs w:val="21"/>
              </w:rPr>
              <w:t>课程评价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</w:t>
            </w:r>
            <w:r>
              <w:rPr>
                <w:rFonts w:ascii="仿宋" w:hAnsi="仿宋" w:eastAsia="仿宋_GB2312"/>
                <w:szCs w:val="21"/>
              </w:rPr>
              <w:t>.</w:t>
            </w:r>
            <w:r>
              <w:rPr>
                <w:rFonts w:hint="eastAsia" w:ascii="仿宋" w:hAnsi="仿宋" w:eastAsia="仿宋_GB2312"/>
                <w:szCs w:val="21"/>
              </w:rPr>
              <w:t>应用能力在实践中的表现度（20分）</w:t>
            </w:r>
          </w:p>
        </w:tc>
        <w:tc>
          <w:tcPr>
            <w:tcW w:w="4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4.1多元性的评价学生学习成果；（10分）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4.2课程实施效果具有统计意义。（10分）</w:t>
            </w:r>
          </w:p>
        </w:tc>
        <w:tc>
          <w:tcPr>
            <w:tcW w:w="3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考核成绩、学生评价、企业评价、社会评价、竞赛获奖、专利成果等可体现课程教学效果的数据统计；</w:t>
            </w:r>
          </w:p>
        </w:tc>
        <w:tc>
          <w:tcPr>
            <w:tcW w:w="2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1.麦可思等教学评价数据；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/>
                <w:szCs w:val="21"/>
              </w:rPr>
              <w:t>2.教师教学成果与学生学习成果数据统计等文件材料；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329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_GB2312"/>
                <w:b/>
                <w:bCs/>
                <w:szCs w:val="21"/>
              </w:rPr>
              <w:t>总分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</w:pPr>
      <w:r>
        <w:rPr>
          <w:rFonts w:hint="eastAsia" w:eastAsia="仿宋_GB2312"/>
          <w:sz w:val="22"/>
        </w:rPr>
        <w:t>备注：应用型课程根据评价标准可分为优、良、中、差、不合格共五个等级，其中优&gt;</w:t>
      </w:r>
      <w:r>
        <w:rPr>
          <w:rFonts w:eastAsia="仿宋_GB2312"/>
          <w:sz w:val="22"/>
        </w:rPr>
        <w:t>=90</w:t>
      </w:r>
      <w:r>
        <w:rPr>
          <w:rFonts w:hint="eastAsia" w:eastAsia="仿宋_GB2312"/>
          <w:sz w:val="22"/>
        </w:rPr>
        <w:t>，良&gt;</w:t>
      </w:r>
      <w:r>
        <w:rPr>
          <w:rFonts w:eastAsia="仿宋_GB2312"/>
          <w:sz w:val="22"/>
        </w:rPr>
        <w:t>=80</w:t>
      </w:r>
      <w:r>
        <w:rPr>
          <w:rFonts w:hint="eastAsia" w:eastAsia="仿宋_GB2312"/>
          <w:sz w:val="22"/>
        </w:rPr>
        <w:t>，中&gt;</w:t>
      </w:r>
      <w:r>
        <w:rPr>
          <w:rFonts w:eastAsia="仿宋_GB2312"/>
          <w:sz w:val="22"/>
        </w:rPr>
        <w:t>=70</w:t>
      </w:r>
      <w:r>
        <w:rPr>
          <w:rFonts w:hint="eastAsia" w:eastAsia="仿宋_GB2312"/>
          <w:sz w:val="22"/>
        </w:rPr>
        <w:t>，差&gt;</w:t>
      </w:r>
      <w:r>
        <w:rPr>
          <w:rFonts w:eastAsia="仿宋_GB2312"/>
          <w:sz w:val="22"/>
        </w:rPr>
        <w:t>=60</w:t>
      </w:r>
      <w:r>
        <w:rPr>
          <w:rFonts w:hint="eastAsia" w:eastAsia="仿宋_GB2312"/>
          <w:sz w:val="22"/>
        </w:rPr>
        <w:t>，不合格</w:t>
      </w:r>
      <w:r>
        <w:rPr>
          <w:rFonts w:eastAsia="仿宋_GB2312"/>
          <w:sz w:val="22"/>
        </w:rPr>
        <w:t>&lt;60</w:t>
      </w:r>
      <w:r>
        <w:rPr>
          <w:rFonts w:hint="eastAsia" w:eastAsia="仿宋_GB2312"/>
          <w:sz w:val="22"/>
        </w:rPr>
        <w:t>。</w:t>
      </w:r>
    </w:p>
    <w:p>
      <w:pPr>
        <w:spacing w:line="360" w:lineRule="auto"/>
        <w:rPr>
          <w:rFonts w:ascii="仿宋" w:hAnsi="仿宋" w:eastAsia="仿宋_GB2312" w:cs="仿宋"/>
          <w:sz w:val="28"/>
          <w:szCs w:val="28"/>
        </w:rPr>
        <w:sectPr>
          <w:footerReference r:id="rId3" w:type="even"/>
          <w:pgSz w:w="16838" w:h="11906" w:orient="landscape"/>
          <w:pgMar w:top="1418" w:right="1440" w:bottom="1418" w:left="144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_GB2312" w:cs="仿宋"/>
          <w:sz w:val="28"/>
          <w:szCs w:val="28"/>
        </w:rPr>
      </w:pPr>
      <w:r>
        <w:rPr>
          <w:rFonts w:hint="eastAsia" w:ascii="仿宋" w:hAnsi="仿宋" w:eastAsia="仿宋_GB2312" w:cs="仿宋"/>
          <w:sz w:val="28"/>
          <w:szCs w:val="28"/>
        </w:rPr>
        <w:t>附件</w:t>
      </w:r>
      <w:r>
        <w:rPr>
          <w:rFonts w:ascii="仿宋" w:hAnsi="仿宋" w:eastAsia="仿宋_GB2312" w:cs="仿宋"/>
          <w:sz w:val="28"/>
          <w:szCs w:val="28"/>
        </w:rPr>
        <w:t>3</w:t>
      </w:r>
    </w:p>
    <w:p>
      <w:pPr>
        <w:spacing w:line="360" w:lineRule="auto"/>
        <w:jc w:val="center"/>
        <w:rPr>
          <w:rFonts w:hint="eastAsia" w:ascii="仿宋" w:hAnsi="仿宋" w:eastAsia="仿宋_GB2312" w:cs="仿宋"/>
          <w:b/>
          <w:bCs/>
          <w:sz w:val="28"/>
          <w:szCs w:val="28"/>
        </w:rPr>
      </w:pPr>
      <w:r>
        <w:rPr>
          <w:rFonts w:hint="eastAsia" w:ascii="仿宋" w:hAnsi="仿宋" w:eastAsia="仿宋_GB2312" w:cs="仿宋"/>
          <w:b/>
          <w:bCs/>
          <w:sz w:val="28"/>
          <w:szCs w:val="28"/>
        </w:rPr>
        <w:t>XXX学院应用型课程建设数据统计表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6" w:type="dxa"/>
            <w:tcBorders>
              <w:tl2br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right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</w:t>
            </w:r>
          </w:p>
          <w:p>
            <w:pPr>
              <w:spacing w:line="360" w:lineRule="auto"/>
              <w:rPr>
                <w:rFonts w:ascii="宋体" w:hAnsi="宋体" w:cs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序号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专业名称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专业课门数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应用型课程改革门数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应用型课改课程占专业课门数比例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院级应用型示范课数量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校级应用型示范课数量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4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_GB2312" w:cs="仿宋"/>
                <w:b/>
                <w:bCs/>
                <w:szCs w:val="21"/>
              </w:rPr>
              <w:t>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_GB2312" w:cs="仿宋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_GB2312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  <w:sectPr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</w:pPr>
      <w:r>
        <w:rPr>
          <w:rFonts w:hint="eastAsia" w:ascii="仿宋" w:hAnsi="仿宋" w:eastAsia="仿宋_GB2312" w:cs="仿宋"/>
          <w:sz w:val="28"/>
          <w:szCs w:val="28"/>
        </w:rPr>
        <w:t>附件4</w:t>
      </w:r>
    </w:p>
    <w:p>
      <w:pPr>
        <w:jc w:val="center"/>
        <w:rPr>
          <w:rFonts w:hint="eastAsia" w:ascii="仿宋" w:hAnsi="仿宋" w:eastAsia="黑体" w:cs="仿宋"/>
          <w:sz w:val="28"/>
          <w:szCs w:val="28"/>
        </w:rPr>
      </w:pPr>
      <w:r>
        <w:rPr>
          <w:rFonts w:ascii="Arial" w:hAnsi="Arial" w:eastAsia="黑体" w:cs="Arial"/>
          <w:sz w:val="32"/>
          <w:szCs w:val="32"/>
        </w:rPr>
        <w:t>×××</w:t>
      </w:r>
      <w:r>
        <w:rPr>
          <w:rFonts w:hint="eastAsia" w:ascii="黑体" w:hAnsi="黑体" w:eastAsia="黑体" w:cs="黑体"/>
          <w:sz w:val="32"/>
          <w:szCs w:val="32"/>
        </w:rPr>
        <w:t>学院2020年第二批院级应用型示范课汇总表</w:t>
      </w:r>
    </w:p>
    <w:tbl>
      <w:tblPr>
        <w:tblStyle w:val="3"/>
        <w:tblpPr w:leftFromText="180" w:rightFromText="180" w:vertAnchor="text" w:horzAnchor="page" w:tblpX="1274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69"/>
        <w:gridCol w:w="2656"/>
        <w:gridCol w:w="1099"/>
        <w:gridCol w:w="2666"/>
        <w:gridCol w:w="1739"/>
        <w:gridCol w:w="188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开课单位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课程团队成员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是否专业核心课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课程所在专业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课程开设年级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_GB2312" w:cs="仿宋"/>
          <w:sz w:val="28"/>
          <w:szCs w:val="28"/>
        </w:rPr>
      </w:pPr>
      <w:r>
        <w:rPr>
          <w:rFonts w:hint="eastAsia" w:ascii="仿宋" w:hAnsi="仿宋" w:eastAsia="仿宋_GB2312" w:cs="仿宋"/>
          <w:sz w:val="28"/>
          <w:szCs w:val="28"/>
        </w:rPr>
        <w:t>注：课程为人才培养方案中开设的课程。课程开设年级：如2017级。</w:t>
      </w: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07AEF"/>
    <w:rsid w:val="0A8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2020-04-24T02:25:00Z</dcterms:created>
  <dc:creator>Administrator</dc:creator>
  <cp:lastModifiedBy>Administrator</cp:lastModifiedBy>
  <dcterms:modified xsi:type="dcterms:W3CDTF">2020-04-24T02:25:20Z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